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59" w:rsidRDefault="00C26459">
      <w:pPr>
        <w:pStyle w:val="NormalWeb"/>
        <w:widowControl/>
        <w:wordWrap w:val="0"/>
        <w:jc w:val="both"/>
        <w:rPr>
          <w:rFonts w:ascii="宋体" w:cs="宋体"/>
          <w:b/>
          <w:bCs/>
          <w:color w:val="000000"/>
          <w:sz w:val="44"/>
          <w:szCs w:val="44"/>
          <w:shd w:val="clear" w:color="auto" w:fill="FFFFFF"/>
        </w:rPr>
      </w:pPr>
      <w:r>
        <w:rPr>
          <w:rFonts w:ascii="宋体" w:hAnsi="宋体" w:cs="宋体"/>
          <w:b/>
          <w:bCs/>
          <w:color w:val="000000"/>
          <w:sz w:val="44"/>
          <w:szCs w:val="44"/>
          <w:shd w:val="clear" w:color="auto" w:fill="FFFFFF"/>
        </w:rPr>
        <w:t xml:space="preserve">                 </w:t>
      </w:r>
    </w:p>
    <w:p w:rsidR="00C26459" w:rsidRDefault="00C26459">
      <w:pPr>
        <w:pStyle w:val="NormalWeb"/>
        <w:widowControl/>
        <w:wordWrap w:val="0"/>
        <w:jc w:val="both"/>
        <w:rPr>
          <w:rFonts w:ascii="宋体" w:cs="宋体"/>
          <w:b/>
          <w:bCs/>
          <w:color w:val="000000"/>
          <w:sz w:val="44"/>
          <w:szCs w:val="44"/>
          <w:shd w:val="clear" w:color="auto" w:fill="FFFFFF"/>
        </w:rPr>
      </w:pPr>
      <w:r>
        <w:rPr>
          <w:rFonts w:ascii="宋体" w:hAnsi="宋体" w:cs="宋体"/>
          <w:b/>
          <w:bCs/>
          <w:color w:val="000000"/>
          <w:sz w:val="44"/>
          <w:szCs w:val="44"/>
          <w:shd w:val="clear" w:color="auto" w:fill="FFFFFF"/>
        </w:rPr>
        <w:t xml:space="preserve">                 </w:t>
      </w:r>
    </w:p>
    <w:p w:rsidR="00C26459" w:rsidRDefault="00C26459">
      <w:pPr>
        <w:pStyle w:val="NormalWeb"/>
        <w:widowControl/>
        <w:wordWrap w:val="0"/>
        <w:jc w:val="both"/>
        <w:rPr>
          <w:rFonts w:ascii="宋体" w:cs="宋体"/>
          <w:b/>
          <w:bCs/>
          <w:color w:val="000000"/>
          <w:sz w:val="44"/>
          <w:szCs w:val="44"/>
          <w:shd w:val="clear" w:color="auto" w:fill="FFFFFF"/>
        </w:rPr>
      </w:pPr>
      <w:r>
        <w:rPr>
          <w:rFonts w:ascii="宋体" w:hAnsi="宋体" w:cs="宋体"/>
          <w:b/>
          <w:bCs/>
          <w:color w:val="000000"/>
          <w:sz w:val="44"/>
          <w:szCs w:val="44"/>
          <w:shd w:val="clear" w:color="auto" w:fill="FFFFFF"/>
        </w:rPr>
        <w:t xml:space="preserve">                   </w:t>
      </w:r>
    </w:p>
    <w:p w:rsidR="00C26459" w:rsidRDefault="00C26459">
      <w:pPr>
        <w:pStyle w:val="NormalWeb"/>
        <w:widowControl/>
        <w:wordWrap w:val="0"/>
        <w:jc w:val="both"/>
        <w:rPr>
          <w:rFonts w:ascii="宋体" w:cs="宋体"/>
          <w:b/>
          <w:bCs/>
          <w:color w:val="000000"/>
          <w:sz w:val="44"/>
          <w:szCs w:val="44"/>
          <w:shd w:val="clear" w:color="auto" w:fill="FFFFFF"/>
        </w:rPr>
      </w:pPr>
      <w:r>
        <w:rPr>
          <w:rFonts w:ascii="宋体" w:hAnsi="宋体" w:cs="宋体"/>
          <w:b/>
          <w:bCs/>
          <w:color w:val="000000"/>
          <w:sz w:val="44"/>
          <w:szCs w:val="44"/>
          <w:shd w:val="clear" w:color="auto" w:fill="FFFFFF"/>
        </w:rPr>
        <w:t xml:space="preserve">                  </w:t>
      </w:r>
    </w:p>
    <w:p w:rsidR="00C26459" w:rsidRDefault="00C26459">
      <w:pPr>
        <w:pStyle w:val="NormalWeb"/>
        <w:widowControl/>
        <w:wordWrap w:val="0"/>
        <w:jc w:val="both"/>
        <w:rPr>
          <w:rFonts w:ascii="宋体" w:cs="宋体"/>
          <w:b/>
          <w:bCs/>
          <w:color w:val="000000"/>
          <w:sz w:val="44"/>
          <w:szCs w:val="44"/>
          <w:shd w:val="clear" w:color="auto" w:fill="FFFFFF"/>
        </w:rPr>
      </w:pPr>
      <w:r>
        <w:rPr>
          <w:rFonts w:ascii="宋体" w:hAnsi="宋体" w:cs="宋体"/>
          <w:b/>
          <w:bCs/>
          <w:color w:val="000000"/>
          <w:sz w:val="44"/>
          <w:szCs w:val="44"/>
          <w:shd w:val="clear" w:color="auto" w:fill="FFFFFF"/>
        </w:rPr>
        <w:t xml:space="preserve">                   </w:t>
      </w:r>
    </w:p>
    <w:p w:rsidR="00C26459" w:rsidRDefault="00C26459">
      <w:pPr>
        <w:pStyle w:val="NormalWeb"/>
        <w:widowControl/>
        <w:wordWrap w:val="0"/>
        <w:jc w:val="center"/>
        <w:rPr>
          <w:rFonts w:ascii="宋体" w:cs="宋体"/>
          <w:b/>
          <w:bCs/>
          <w:color w:val="000000"/>
          <w:sz w:val="44"/>
          <w:szCs w:val="44"/>
          <w:shd w:val="clear" w:color="auto" w:fill="FFFFFF"/>
        </w:rPr>
      </w:pPr>
      <w:r>
        <w:rPr>
          <w:rFonts w:ascii="宋体" w:hAnsi="宋体" w:cs="宋体" w:hint="eastAsia"/>
          <w:b/>
          <w:bCs/>
          <w:color w:val="000000"/>
          <w:sz w:val="44"/>
          <w:szCs w:val="44"/>
          <w:shd w:val="clear" w:color="auto" w:fill="FFFFFF"/>
        </w:rPr>
        <w:t>关于印发《泰安市国资系统</w:t>
      </w:r>
    </w:p>
    <w:p w:rsidR="00C26459" w:rsidRDefault="00C26459">
      <w:pPr>
        <w:pStyle w:val="NormalWeb"/>
        <w:widowControl/>
        <w:wordWrap w:val="0"/>
        <w:jc w:val="center"/>
        <w:rPr>
          <w:rFonts w:ascii="宋体" w:cs="宋体"/>
          <w:b/>
          <w:bCs/>
          <w:color w:val="000000"/>
          <w:sz w:val="44"/>
          <w:szCs w:val="44"/>
          <w:shd w:val="clear" w:color="auto" w:fill="FFFFFF"/>
        </w:rPr>
      </w:pPr>
      <w:r>
        <w:rPr>
          <w:rFonts w:ascii="宋体" w:hAnsi="宋体" w:cs="宋体" w:hint="eastAsia"/>
          <w:b/>
          <w:bCs/>
          <w:color w:val="000000"/>
          <w:sz w:val="44"/>
          <w:szCs w:val="44"/>
          <w:shd w:val="clear" w:color="auto" w:fill="FFFFFF"/>
        </w:rPr>
        <w:t>生活垃圾分类工作方案》（征求意见稿）的通知</w:t>
      </w:r>
    </w:p>
    <w:p w:rsidR="00C26459" w:rsidRDefault="00C26459">
      <w:pPr>
        <w:pStyle w:val="NormalWeb"/>
        <w:widowControl/>
        <w:wordWrap w:val="0"/>
        <w:jc w:val="both"/>
        <w:rPr>
          <w:rFonts w:ascii="宋体" w:cs="宋体"/>
          <w:b/>
          <w:bCs/>
          <w:color w:val="FF0000"/>
          <w:sz w:val="44"/>
          <w:szCs w:val="44"/>
          <w:shd w:val="clear" w:color="auto" w:fill="FFFFFF"/>
        </w:rPr>
      </w:pPr>
    </w:p>
    <w:p w:rsidR="00C26459" w:rsidRPr="008D2464" w:rsidRDefault="00C26459">
      <w:pPr>
        <w:pStyle w:val="NormalWeb"/>
        <w:widowControl/>
        <w:wordWrap w:val="0"/>
        <w:jc w:val="both"/>
        <w:rPr>
          <w:rFonts w:ascii="仿宋_GB2312" w:eastAsia="仿宋_GB2312" w:hAnsi="仿宋_GB2312" w:cs="仿宋_GB2312"/>
          <w:sz w:val="32"/>
          <w:szCs w:val="32"/>
        </w:rPr>
      </w:pPr>
      <w:r w:rsidRPr="008D2464">
        <w:rPr>
          <w:rFonts w:ascii="仿宋_GB2312" w:eastAsia="仿宋_GB2312" w:hAnsi="仿宋_GB2312" w:cs="仿宋_GB2312" w:hint="eastAsia"/>
          <w:sz w:val="32"/>
          <w:szCs w:val="32"/>
          <w:shd w:val="clear" w:color="auto" w:fill="FFFFFF"/>
        </w:rPr>
        <w:t>各直管单位，各投资运营公司，委机关各科（室）：</w:t>
      </w:r>
    </w:p>
    <w:p w:rsidR="00C26459" w:rsidRPr="008D2464" w:rsidRDefault="00C26459">
      <w:pPr>
        <w:pStyle w:val="NormalWeb"/>
        <w:widowControl/>
        <w:wordWrap w:val="0"/>
        <w:ind w:firstLineChars="200" w:firstLine="640"/>
        <w:jc w:val="both"/>
        <w:rPr>
          <w:rFonts w:ascii="仿宋_GB2312" w:eastAsia="仿宋_GB2312" w:hAnsi="仿宋_GB2312" w:cs="仿宋_GB2312"/>
          <w:sz w:val="32"/>
          <w:szCs w:val="32"/>
          <w:shd w:val="clear" w:color="auto" w:fill="FFFFFF"/>
        </w:rPr>
      </w:pPr>
      <w:r w:rsidRPr="008D2464">
        <w:rPr>
          <w:rFonts w:ascii="仿宋_GB2312" w:eastAsia="仿宋_GB2312" w:hAnsi="仿宋_GB2312" w:cs="仿宋_GB2312" w:hint="eastAsia"/>
          <w:sz w:val="32"/>
          <w:szCs w:val="32"/>
          <w:shd w:val="clear" w:color="auto" w:fill="FFFFFF"/>
        </w:rPr>
        <w:t>为扎实推进市国资系统生活垃圾分类工作的开展，积极发挥机关企事业单位的示范引领作用，现将《泰安市国资系统生活垃圾分类工作方案》</w:t>
      </w:r>
      <w:r>
        <w:rPr>
          <w:rFonts w:ascii="仿宋_GB2312" w:eastAsia="仿宋_GB2312" w:hAnsi="仿宋_GB2312" w:cs="仿宋_GB2312" w:hint="eastAsia"/>
          <w:sz w:val="32"/>
          <w:szCs w:val="32"/>
          <w:shd w:val="clear" w:color="auto" w:fill="FFFFFF"/>
        </w:rPr>
        <w:t>（征求意见稿）</w:t>
      </w:r>
      <w:r w:rsidRPr="008D2464">
        <w:rPr>
          <w:rFonts w:ascii="仿宋_GB2312" w:eastAsia="仿宋_GB2312" w:hAnsi="仿宋_GB2312" w:cs="仿宋_GB2312" w:hint="eastAsia"/>
          <w:sz w:val="32"/>
          <w:szCs w:val="32"/>
          <w:shd w:val="clear" w:color="auto" w:fill="FFFFFF"/>
        </w:rPr>
        <w:t>印发给你们，请认真贯彻执行。</w:t>
      </w:r>
    </w:p>
    <w:p w:rsidR="00C26459" w:rsidRPr="008D2464" w:rsidRDefault="00C26459">
      <w:pPr>
        <w:pStyle w:val="NormalWeb"/>
        <w:widowControl/>
        <w:wordWrap w:val="0"/>
        <w:ind w:firstLineChars="200" w:firstLine="640"/>
        <w:jc w:val="both"/>
        <w:rPr>
          <w:rFonts w:ascii="仿宋_GB2312" w:eastAsia="仿宋_GB2312" w:hAnsi="仿宋_GB2312" w:cs="仿宋_GB2312"/>
          <w:sz w:val="32"/>
          <w:szCs w:val="32"/>
          <w:shd w:val="clear" w:color="auto" w:fill="FFFFFF"/>
        </w:rPr>
      </w:pPr>
      <w:r w:rsidRPr="008D2464">
        <w:rPr>
          <w:rFonts w:ascii="仿宋_GB2312" w:eastAsia="仿宋_GB2312" w:hAnsi="仿宋_GB2312" w:cs="仿宋_GB2312" w:hint="eastAsia"/>
          <w:sz w:val="32"/>
          <w:szCs w:val="32"/>
          <w:shd w:val="clear" w:color="auto" w:fill="FFFFFF"/>
        </w:rPr>
        <w:t>附：《泰安市国资系统生活垃圾分类工作方案》</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shd w:val="clear" w:color="auto" w:fill="FFFFFF"/>
        </w:rPr>
      </w:pP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shd w:val="clear" w:color="auto" w:fill="FFFFFF"/>
        </w:rPr>
      </w:pP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shd w:val="clear" w:color="auto" w:fill="FFFFFF"/>
        </w:rPr>
      </w:pPr>
    </w:p>
    <w:p w:rsidR="00C26459" w:rsidRDefault="00C26459">
      <w:pPr>
        <w:pStyle w:val="NormalWeb"/>
        <w:widowControl/>
        <w:wordWrap w:val="0"/>
        <w:ind w:firstLineChars="200" w:firstLine="640"/>
        <w:jc w:val="righ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泰安市国资委</w:t>
      </w:r>
      <w:r>
        <w:rPr>
          <w:rFonts w:ascii="仿宋_GB2312" w:eastAsia="仿宋_GB2312" w:hAnsi="仿宋_GB2312" w:cs="仿宋_GB2312"/>
          <w:color w:val="000000"/>
          <w:sz w:val="32"/>
          <w:szCs w:val="32"/>
          <w:shd w:val="clear" w:color="auto" w:fill="FFFFFF"/>
        </w:rPr>
        <w:t xml:space="preserve">      </w:t>
      </w:r>
    </w:p>
    <w:p w:rsidR="00C26459" w:rsidRDefault="00C26459">
      <w:pPr>
        <w:pStyle w:val="NormalWeb"/>
        <w:widowControl/>
        <w:wordWrap w:val="0"/>
        <w:ind w:firstLineChars="200" w:firstLine="640"/>
        <w:jc w:val="right"/>
        <w:rPr>
          <w:rFonts w:ascii="仿宋_GB2312" w:eastAsia="仿宋_GB2312" w:hAnsi="仿宋_GB2312" w:cs="仿宋_GB2312"/>
          <w:color w:val="000000"/>
          <w:sz w:val="32"/>
          <w:szCs w:val="32"/>
          <w:shd w:val="clear" w:color="auto" w:fill="FFFFFF"/>
        </w:rPr>
      </w:pPr>
      <w:smartTag w:uri="urn:schemas-microsoft-com:office:smarttags" w:element="chsdate">
        <w:smartTagPr>
          <w:attr w:name="IsROCDate" w:val="False"/>
          <w:attr w:name="IsLunarDate" w:val="False"/>
          <w:attr w:name="Day" w:val="17"/>
          <w:attr w:name="Month" w:val="11"/>
          <w:attr w:name="Year" w:val="2020"/>
        </w:smartTagPr>
        <w:r>
          <w:rPr>
            <w:rFonts w:ascii="仿宋_GB2312" w:eastAsia="仿宋_GB2312" w:hAnsi="仿宋_GB2312" w:cs="仿宋_GB2312"/>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17</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color w:val="000000"/>
          <w:sz w:val="32"/>
          <w:szCs w:val="32"/>
          <w:shd w:val="clear" w:color="auto" w:fill="FFFFFF"/>
        </w:rPr>
        <w:t xml:space="preserve">   </w:t>
      </w:r>
    </w:p>
    <w:p w:rsidR="00C26459" w:rsidRDefault="00C26459">
      <w:pPr>
        <w:pStyle w:val="NormalWeb"/>
        <w:widowControl/>
        <w:ind w:firstLineChars="200" w:firstLine="640"/>
        <w:jc w:val="right"/>
        <w:rPr>
          <w:rFonts w:ascii="仿宋_GB2312" w:eastAsia="仿宋_GB2312" w:hAnsi="仿宋_GB2312" w:cs="仿宋_GB2312"/>
          <w:color w:val="000000"/>
          <w:sz w:val="32"/>
          <w:szCs w:val="32"/>
          <w:shd w:val="clear" w:color="auto" w:fill="FFFFFF"/>
        </w:rPr>
      </w:pPr>
    </w:p>
    <w:p w:rsidR="00C26459" w:rsidRDefault="00C26459">
      <w:pPr>
        <w:pStyle w:val="NormalWeb"/>
        <w:widowControl/>
        <w:ind w:firstLineChars="200" w:firstLine="640"/>
        <w:jc w:val="both"/>
        <w:rPr>
          <w:rFonts w:ascii="仿宋_GB2312" w:eastAsia="仿宋_GB2312" w:hAnsi="仿宋_GB2312" w:cs="仿宋_GB2312"/>
          <w:color w:val="000000"/>
          <w:sz w:val="32"/>
          <w:szCs w:val="32"/>
          <w:shd w:val="clear" w:color="auto" w:fill="FFFFFF"/>
        </w:rPr>
      </w:pPr>
    </w:p>
    <w:p w:rsidR="00C26459" w:rsidRDefault="00C26459">
      <w:pPr>
        <w:pStyle w:val="NormalWeb"/>
        <w:widowControl/>
        <w:wordWrap w:val="0"/>
        <w:jc w:val="both"/>
        <w:rPr>
          <w:rFonts w:ascii="仿宋_GB2312" w:eastAsia="仿宋_GB2312" w:hAnsi="仿宋_GB2312" w:cs="仿宋_GB2312"/>
          <w:color w:val="000000"/>
          <w:sz w:val="32"/>
          <w:szCs w:val="32"/>
          <w:shd w:val="clear" w:color="auto" w:fill="FFFFFF"/>
        </w:rPr>
      </w:pPr>
    </w:p>
    <w:p w:rsidR="00C26459" w:rsidRDefault="00C26459">
      <w:pPr>
        <w:pStyle w:val="NormalWeb"/>
        <w:widowControl/>
        <w:wordWrap w:val="0"/>
        <w:jc w:val="center"/>
        <w:rPr>
          <w:rFonts w:ascii="宋体" w:cs="宋体"/>
          <w:b/>
          <w:bCs/>
          <w:color w:val="000000"/>
          <w:sz w:val="44"/>
          <w:szCs w:val="44"/>
          <w:shd w:val="clear" w:color="auto" w:fill="FFFFFF"/>
        </w:rPr>
      </w:pPr>
    </w:p>
    <w:p w:rsidR="00C26459" w:rsidRDefault="00C26459">
      <w:pPr>
        <w:pStyle w:val="NormalWeb"/>
        <w:widowControl/>
        <w:wordWrap w:val="0"/>
        <w:jc w:val="center"/>
        <w:rPr>
          <w:rFonts w:ascii="宋体" w:cs="宋体"/>
          <w:b/>
          <w:bCs/>
          <w:color w:val="000000"/>
          <w:sz w:val="44"/>
          <w:szCs w:val="44"/>
          <w:shd w:val="clear" w:color="auto" w:fill="FFFFFF"/>
        </w:rPr>
      </w:pPr>
      <w:r>
        <w:rPr>
          <w:rFonts w:ascii="宋体" w:hAnsi="宋体" w:cs="宋体" w:hint="eastAsia"/>
          <w:b/>
          <w:bCs/>
          <w:color w:val="000000"/>
          <w:sz w:val="44"/>
          <w:szCs w:val="44"/>
          <w:shd w:val="clear" w:color="auto" w:fill="FFFFFF"/>
        </w:rPr>
        <w:t>泰安市国资系统</w:t>
      </w:r>
    </w:p>
    <w:p w:rsidR="00C26459" w:rsidRDefault="00C26459">
      <w:pPr>
        <w:pStyle w:val="NormalWeb"/>
        <w:widowControl/>
        <w:wordWrap w:val="0"/>
        <w:jc w:val="center"/>
        <w:rPr>
          <w:rFonts w:ascii="宋体" w:cs="宋体"/>
          <w:b/>
          <w:bCs/>
          <w:color w:val="000000"/>
          <w:sz w:val="44"/>
          <w:szCs w:val="44"/>
          <w:shd w:val="clear" w:color="auto" w:fill="FFFFFF"/>
        </w:rPr>
      </w:pPr>
      <w:r>
        <w:rPr>
          <w:rFonts w:ascii="宋体" w:hAnsi="宋体" w:cs="宋体" w:hint="eastAsia"/>
          <w:b/>
          <w:bCs/>
          <w:color w:val="000000"/>
          <w:sz w:val="44"/>
          <w:szCs w:val="44"/>
          <w:shd w:val="clear" w:color="auto" w:fill="FFFFFF"/>
        </w:rPr>
        <w:t>生活垃圾分类工作方案</w:t>
      </w:r>
    </w:p>
    <w:p w:rsidR="00C26459" w:rsidRDefault="00C26459">
      <w:pPr>
        <w:pStyle w:val="NormalWeb"/>
        <w:widowControl/>
        <w:wordWrap w:val="0"/>
        <w:jc w:val="both"/>
        <w:rPr>
          <w:rFonts w:ascii="宋体" w:cs="宋体"/>
          <w:b/>
          <w:bCs/>
          <w:color w:val="000000"/>
          <w:sz w:val="44"/>
          <w:szCs w:val="44"/>
          <w:shd w:val="clear" w:color="auto" w:fill="FFFFFF"/>
        </w:rPr>
      </w:pP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为加快推进生活垃圾分类工作，发挥市国资系统在全市生活垃圾分类的示范引领作用，形成全社会普遍参与的良好局面，根据《泰安市生活垃圾分类管理条例》的要求，结合工作实际，现就推进市国资系统生活垃圾分类工作，制定本工作方案：</w:t>
      </w:r>
    </w:p>
    <w:p w:rsidR="00C26459" w:rsidRDefault="00C26459">
      <w:pPr>
        <w:pStyle w:val="NormalWeb"/>
        <w:widowControl/>
        <w:wordWrap w:val="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一、指导思想</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以习近平新时代中国特色社会主义思想和习近平总书记关于普遍推行垃圾分类制度重要讲话精神为指导，坚决贯彻落实上级关于推进生活垃圾分类的工作部署，牢固树立创新、协调、绿色、开放、共享的发展理念。通过加强组织领导、完善制度建设、强化宣传引导，在市国资系统内形成领导干部职工全面参与的良好氛围。</w:t>
      </w:r>
    </w:p>
    <w:p w:rsidR="00C26459" w:rsidRDefault="00C26459">
      <w:pPr>
        <w:pStyle w:val="NormalWeb"/>
        <w:widowControl/>
        <w:wordWrap w:val="0"/>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二、工作目标</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积极推进生活垃圾分类和资源利用工作，提高市国资系统生活垃圾分类覆盖率。建立健全市国资系统生活垃圾分类相关规章制度，全面推行生活垃圾分类工作。</w:t>
      </w:r>
    </w:p>
    <w:p w:rsidR="00C26459" w:rsidRDefault="00C26459">
      <w:pPr>
        <w:pStyle w:val="NormalWeb"/>
        <w:numPr>
          <w:ilvl w:val="0"/>
          <w:numId w:val="1"/>
        </w:numPr>
        <w:wordWrap w:val="0"/>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组织机构</w:t>
      </w:r>
    </w:p>
    <w:p w:rsidR="00C26459" w:rsidRDefault="00C26459" w:rsidP="00F46E84">
      <w:pPr>
        <w:pStyle w:val="NormalWeb"/>
        <w:wordWrap w:val="0"/>
        <w:ind w:leftChars="200" w:left="420"/>
        <w:jc w:val="both"/>
        <w:rPr>
          <w:rFonts w:ascii="仿宋_GB2312" w:eastAsia="仿宋_GB2312" w:hAnsi="仿宋_GB2312" w:cs="仿宋_GB2312"/>
          <w:color w:val="FF0000"/>
          <w:sz w:val="32"/>
          <w:szCs w:val="32"/>
          <w:shd w:val="clear" w:color="auto" w:fill="FFFFFF"/>
        </w:rPr>
      </w:pPr>
      <w:r>
        <w:rPr>
          <w:rFonts w:ascii="仿宋_GB2312" w:eastAsia="仿宋_GB2312" w:hAnsi="仿宋_GB2312" w:cs="仿宋_GB2312" w:hint="eastAsia"/>
          <w:color w:val="000000"/>
          <w:sz w:val="32"/>
          <w:szCs w:val="32"/>
          <w:shd w:val="clear" w:color="auto" w:fill="FFFFFF"/>
        </w:rPr>
        <w:t>为加强生活垃圾分类工作的协调和推进，</w:t>
      </w:r>
      <w:r>
        <w:rPr>
          <w:rFonts w:ascii="仿宋_GB2312" w:eastAsia="仿宋_GB2312" w:hAnsi="仿宋_GB2312" w:cs="仿宋_GB2312" w:hint="eastAsia"/>
          <w:color w:val="FF0000"/>
          <w:sz w:val="32"/>
          <w:szCs w:val="32"/>
          <w:shd w:val="clear" w:color="auto" w:fill="FFFFFF"/>
        </w:rPr>
        <w:t>成立由委主要领</w:t>
      </w:r>
    </w:p>
    <w:p w:rsidR="00C26459" w:rsidRDefault="00C26459">
      <w:pPr>
        <w:pStyle w:val="NormalWeb"/>
        <w:wordWrap w:val="0"/>
        <w:jc w:val="both"/>
        <w:rPr>
          <w:rFonts w:ascii="仿宋_GB2312" w:eastAsia="仿宋_GB2312" w:hAnsi="仿宋_GB2312" w:cs="仿宋_GB2312"/>
          <w:color w:val="FF0000"/>
          <w:sz w:val="32"/>
          <w:szCs w:val="32"/>
          <w:shd w:val="clear" w:color="auto" w:fill="FFFFFF"/>
        </w:rPr>
      </w:pPr>
      <w:r>
        <w:rPr>
          <w:rFonts w:ascii="仿宋_GB2312" w:eastAsia="仿宋_GB2312" w:hAnsi="仿宋_GB2312" w:cs="仿宋_GB2312" w:hint="eastAsia"/>
          <w:color w:val="FF0000"/>
          <w:sz w:val="32"/>
          <w:szCs w:val="32"/>
          <w:shd w:val="clear" w:color="auto" w:fill="FFFFFF"/>
        </w:rPr>
        <w:t>导同志任组长的工作领导小组</w:t>
      </w:r>
      <w:r>
        <w:rPr>
          <w:rFonts w:ascii="仿宋_GB2312" w:eastAsia="仿宋_GB2312" w:hAnsi="仿宋_GB2312" w:cs="仿宋_GB2312"/>
          <w:color w:val="FF0000"/>
          <w:sz w:val="32"/>
          <w:szCs w:val="32"/>
          <w:shd w:val="clear" w:color="auto" w:fill="FFFFFF"/>
        </w:rPr>
        <w:t>,</w:t>
      </w:r>
      <w:r>
        <w:rPr>
          <w:rFonts w:ascii="仿宋_GB2312" w:eastAsia="仿宋_GB2312" w:hAnsi="仿宋_GB2312" w:cs="仿宋_GB2312" w:hint="eastAsia"/>
          <w:color w:val="000000"/>
          <w:sz w:val="32"/>
          <w:szCs w:val="32"/>
          <w:shd w:val="clear" w:color="auto" w:fill="FFFFFF"/>
        </w:rPr>
        <w:t>负责生活垃圾分类工作的总体筹划部署、研究、协调和统一领导生活垃圾分类管理工作。</w:t>
      </w:r>
      <w:r>
        <w:rPr>
          <w:rFonts w:ascii="仿宋_GB2312" w:eastAsia="仿宋_GB2312" w:hAnsi="仿宋_GB2312" w:cs="仿宋_GB2312" w:hint="eastAsia"/>
          <w:color w:val="FF0000"/>
          <w:sz w:val="32"/>
          <w:szCs w:val="32"/>
          <w:shd w:val="clear" w:color="auto" w:fill="FFFFFF"/>
        </w:rPr>
        <w:t>领导小组办公室设在委办公室，主要负责垃圾分类工作的协调、督导、考核等工作。</w:t>
      </w:r>
    </w:p>
    <w:p w:rsidR="00C26459" w:rsidRDefault="00C26459">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四、分类要求</w:t>
      </w:r>
    </w:p>
    <w:p w:rsidR="00C26459" w:rsidRDefault="00C26459">
      <w:pPr>
        <w:widowControl/>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有害垃圾。主要包括：废电池（镉镍电池、氧化汞电池、铅蓄电池等），废荧光灯管（日光灯管、节能灯等），废温度计，废血压计，废药品及其包装物，废油漆、溶剂及其包装物，废杀虫剂、消毒剂及其包装物，废胶片及废相纸等。</w:t>
      </w:r>
    </w:p>
    <w:p w:rsidR="00C26459" w:rsidRDefault="00C26459">
      <w:pPr>
        <w:widowControl/>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厨余垃圾。主要包括：单位食堂产生的厨余垃圾。</w:t>
      </w:r>
    </w:p>
    <w:p w:rsidR="00C26459" w:rsidRDefault="00C26459">
      <w:pPr>
        <w:widowControl/>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可回收物。主要包括：废纸，废塑料，废金属，废包装物，废旧纺织物，废弃电器电子产品，废玻璃，废塑铝复合包装等。</w:t>
      </w:r>
    </w:p>
    <w:p w:rsidR="00C26459" w:rsidRDefault="00C26459">
      <w:pPr>
        <w:widowControl/>
        <w:ind w:firstLineChars="200" w:firstLine="640"/>
        <w:jc w:val="left"/>
        <w:rPr>
          <w:rFonts w:ascii="仿宋_GB2312" w:eastAsia="仿宋_GB2312" w:hAnsi="仿宋_GB2312" w:cs="仿宋_GB2312"/>
          <w:color w:val="000000"/>
          <w:sz w:val="32"/>
          <w:szCs w:val="32"/>
          <w:u w:val="thick"/>
          <w:shd w:val="clear" w:color="auto" w:fill="FFFFFF"/>
        </w:rPr>
      </w:pPr>
      <w:r>
        <w:rPr>
          <w:rFonts w:ascii="仿宋_GB2312" w:eastAsia="仿宋_GB2312" w:hAnsi="仿宋_GB2312" w:cs="仿宋_GB2312"/>
          <w:color w:val="000000"/>
          <w:kern w:val="0"/>
          <w:sz w:val="32"/>
          <w:szCs w:val="32"/>
          <w:shd w:val="clear" w:color="auto" w:fill="FFFFFF"/>
        </w:rPr>
        <w:t>4.</w:t>
      </w:r>
      <w:r>
        <w:rPr>
          <w:rFonts w:ascii="仿宋_GB2312" w:eastAsia="仿宋_GB2312" w:hAnsi="仿宋_GB2312" w:cs="仿宋_GB2312" w:hint="eastAsia"/>
          <w:color w:val="000000"/>
          <w:kern w:val="0"/>
          <w:sz w:val="32"/>
          <w:szCs w:val="32"/>
          <w:shd w:val="clear" w:color="auto" w:fill="FFFFFF"/>
        </w:rPr>
        <w:t>其它垃圾。除上述规定的有害垃圾、厨余垃圾、可回收物之外的其他生活垃圾，主要包括绿化养护和公园绿地等绿化作业过程中产生的枝叶、树木</w:t>
      </w:r>
      <w:r>
        <w:rPr>
          <w:rFonts w:ascii="仿宋_GB2312" w:eastAsia="仿宋_GB2312" w:hAnsi="仿宋_GB2312" w:cs="仿宋_GB2312"/>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大型废弃物垃圾（家具）、破旧瓷器、瓦片尘土、污染纸张、一次性餐具、烟头等。</w:t>
      </w:r>
    </w:p>
    <w:p w:rsidR="00C26459" w:rsidRDefault="00C26459">
      <w:pPr>
        <w:pStyle w:val="NormalWeb"/>
        <w:widowControl/>
        <w:wordWrap w:val="0"/>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五、主要任务</w:t>
      </w:r>
    </w:p>
    <w:p w:rsidR="00C26459" w:rsidRDefault="00C26459">
      <w:pPr>
        <w:pStyle w:val="NormalWeb"/>
        <w:widowControl/>
        <w:wordWrap w:val="0"/>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一</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完善相关制度，抓好落实执行</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FF0000"/>
          <w:sz w:val="32"/>
          <w:szCs w:val="32"/>
          <w:shd w:val="clear" w:color="auto" w:fill="FFFFFF"/>
        </w:rPr>
        <w:t>各直管单位、各投资运营公司</w:t>
      </w:r>
      <w:r>
        <w:rPr>
          <w:rFonts w:ascii="仿宋_GB2312" w:eastAsia="仿宋_GB2312" w:hAnsi="仿宋_GB2312" w:cs="仿宋_GB2312" w:hint="eastAsia"/>
          <w:color w:val="000000"/>
          <w:sz w:val="32"/>
          <w:szCs w:val="32"/>
          <w:shd w:val="clear" w:color="auto" w:fill="FFFFFF"/>
        </w:rPr>
        <w:t>要坚持将学习垃圾分类相关法规与贯彻执行紧密结合，加快完善生活垃圾分类相关的规章制度，抓好生活垃圾分类责任落实，根据工作实际制定本单位的生活垃圾分类工作实施方案，成立领导小组，明确分管领导，设立专职或兼职人员负责生活垃圾分类工作，建立健全工作机制，使生活垃圾分类有章可循，提高职工垃圾分类工作自觉性，配合执法部门依法做好各类生活垃圾分类投放工作。</w:t>
      </w:r>
    </w:p>
    <w:p w:rsidR="00C26459" w:rsidRDefault="00C26459">
      <w:pPr>
        <w:pStyle w:val="NormalWeb"/>
        <w:widowControl/>
        <w:wordWrap w:val="0"/>
        <w:ind w:firstLineChars="200" w:firstLine="643"/>
        <w:jc w:val="both"/>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二</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持续宣传发动，引导人人参与</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 1.</w:t>
      </w:r>
      <w:r>
        <w:rPr>
          <w:rFonts w:ascii="仿宋_GB2312" w:eastAsia="仿宋_GB2312" w:hAnsi="仿宋_GB2312" w:cs="仿宋_GB2312" w:hint="eastAsia"/>
          <w:color w:val="000000"/>
          <w:sz w:val="32"/>
          <w:szCs w:val="32"/>
          <w:shd w:val="clear" w:color="auto" w:fill="FFFFFF"/>
        </w:rPr>
        <w:t>积极宣传发动。各单位要结合本单位实际，加强生活垃圾分类的宣传力度，通过公众号、宣传栏、微信群等多种形式，图文并茂、影音俱全的宣传生活垃圾分类知识及工作推进情况，进一步造浓本单位开展生活垃圾分类工作的氛围，引导干部职工积极参与。</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开展各类活动。各企业要精心组织，通过开展具有自身企业特色的强化培训、知识竞赛、有奖问答等形式多样的活动，提高垃圾分类知晓率和参与率，增强国资系统干部职工垃圾分类知识，提高参与垃圾分类工作的自觉性。</w:t>
      </w:r>
    </w:p>
    <w:p w:rsidR="00C26459" w:rsidRDefault="00C26459">
      <w:pPr>
        <w:pStyle w:val="NormalWeb"/>
        <w:widowControl/>
        <w:wordWrap w:val="0"/>
        <w:ind w:firstLineChars="200" w:firstLine="643"/>
        <w:jc w:val="both"/>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三</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增加配套设施，进行分类引导</w:t>
      </w:r>
    </w:p>
    <w:p w:rsidR="00C26459" w:rsidRDefault="00C26459">
      <w:pPr>
        <w:pStyle w:val="NormalWeb"/>
        <w:wordWrap w:val="0"/>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配置分类垃圾桶。在人流量集中的地方规范设置可回垃圾、有害垃圾、厨余垃圾、其他垃圾等四类分类垃圾桶，各单位根据实际配备四类分类垃圾桶及垃圾袋、分类标识，各单位要及时对接物业、垃圾清运单位做好分类垃圾的清运工作。</w:t>
      </w:r>
    </w:p>
    <w:p w:rsidR="00C26459" w:rsidRDefault="00C26459">
      <w:pPr>
        <w:pStyle w:val="NormalWeb"/>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设置分类指导牌。根据</w:t>
      </w:r>
      <w:r>
        <w:rPr>
          <w:rFonts w:ascii="仿宋_GB2312" w:eastAsia="仿宋_GB2312" w:hAnsi="仿宋_GB2312" w:cs="仿宋_GB2312" w:hint="eastAsia"/>
          <w:color w:val="FF0000"/>
          <w:sz w:val="32"/>
          <w:szCs w:val="32"/>
          <w:shd w:val="clear" w:color="auto" w:fill="FFFFFF"/>
        </w:rPr>
        <w:t>《泰安市国资系统生活垃圾分类工作方案》</w:t>
      </w:r>
      <w:r>
        <w:rPr>
          <w:rFonts w:ascii="仿宋_GB2312" w:eastAsia="仿宋_GB2312" w:hAnsi="仿宋_GB2312" w:cs="仿宋_GB2312" w:hint="eastAsia"/>
          <w:color w:val="000000"/>
          <w:sz w:val="32"/>
          <w:szCs w:val="32"/>
          <w:shd w:val="clear" w:color="auto" w:fill="FFFFFF"/>
        </w:rPr>
        <w:t>，各单位要在醒目位置设立本单位的生活垃圾分类宣传栏或指导牌，介绍垃圾分类基础知识和分类标准</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安排专人负责垃圾分类宣传工作。</w:t>
      </w:r>
    </w:p>
    <w:p w:rsidR="00C26459" w:rsidRDefault="00C26459">
      <w:pPr>
        <w:pStyle w:val="NormalWeb"/>
        <w:widowControl/>
        <w:wordWrap w:val="0"/>
        <w:ind w:firstLineChars="200" w:firstLine="643"/>
        <w:jc w:val="both"/>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四</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增加年度预算，完善资金保障</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对于生活垃圾分类设施建设及宣传、教育、培训等活动所需经费，要制订资金使用计划，提前把资金预算列入企业年度预算，保证及时支付，做到专款专用，切实做好垃圾分类工作的相关保障工作。</w:t>
      </w:r>
    </w:p>
    <w:p w:rsidR="00C26459" w:rsidRDefault="00C26459">
      <w:pPr>
        <w:pStyle w:val="NormalWeb"/>
        <w:widowControl/>
        <w:wordWrap w:val="0"/>
        <w:ind w:firstLineChars="200" w:firstLine="643"/>
        <w:jc w:val="both"/>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五</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定期开展自查，加强工作成效</w:t>
      </w:r>
    </w:p>
    <w:p w:rsidR="00C26459" w:rsidRDefault="00C26459">
      <w:pPr>
        <w:pStyle w:val="NormalWeb"/>
        <w:widowControl/>
        <w:wordWrap w:val="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各单位要定期开展生活垃圾分类自查自纠工作，加强对本单位生活垃圾分类的宣传发动、设施配置、分类投放等方面工作情况进行梳理，加大对人流量大的公共区域的卫生管理。结合创建全国文明城市和国家卫生城市，将生活垃圾分类工作纳入创建考核内容，充分发挥创建全国文明城市和国家卫生城市对垃圾分类工作的推动作用。</w:t>
      </w:r>
    </w:p>
    <w:p w:rsidR="00C26459" w:rsidRDefault="00C26459">
      <w:pPr>
        <w:pStyle w:val="NormalWeb"/>
        <w:widowControl/>
        <w:wordWrap w:val="0"/>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六、工作要求</w:t>
      </w:r>
    </w:p>
    <w:p w:rsidR="00C26459" w:rsidRDefault="00C26459">
      <w:pPr>
        <w:pStyle w:val="NormalWeb"/>
        <w:widowControl/>
        <w:wordWrap w:val="0"/>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shd w:val="clear" w:color="auto" w:fill="FFFFFF"/>
        </w:rPr>
        <w:t>（一）加强组织领导。</w:t>
      </w:r>
      <w:r>
        <w:rPr>
          <w:rFonts w:ascii="仿宋_GB2312" w:eastAsia="仿宋_GB2312" w:hAnsi="仿宋_GB2312" w:cs="仿宋_GB2312" w:hint="eastAsia"/>
          <w:color w:val="000000"/>
          <w:sz w:val="32"/>
          <w:szCs w:val="32"/>
          <w:shd w:val="clear" w:color="auto" w:fill="FFFFFF"/>
        </w:rPr>
        <w:t>建立联络员机制，各单位要及时将分管领导和联络员名单报市国资委垃圾分类领导小组办公室。严格落实本单位生活垃圾分类工作方案，明确工作机制、宣传培训、设施配置、台账设置，积极推动工作落实。</w:t>
      </w:r>
    </w:p>
    <w:p w:rsidR="00C26459" w:rsidRDefault="00C26459">
      <w:pPr>
        <w:pStyle w:val="NormalWeb"/>
        <w:widowControl/>
        <w:wordWrap w:val="0"/>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shd w:val="clear" w:color="auto" w:fill="FFFFFF"/>
        </w:rPr>
        <w:t>（二）广泛开展培训工作。</w:t>
      </w:r>
      <w:r>
        <w:rPr>
          <w:rFonts w:ascii="仿宋_GB2312" w:eastAsia="仿宋_GB2312" w:hAnsi="仿宋_GB2312" w:cs="仿宋_GB2312" w:hint="eastAsia"/>
          <w:color w:val="000000"/>
          <w:sz w:val="32"/>
          <w:szCs w:val="32"/>
          <w:shd w:val="clear" w:color="auto" w:fill="FFFFFF"/>
        </w:rPr>
        <w:t>各单位要在本单位内积极开展垃圾分类指导培训工作，通过培训使广大干部职工明确垃圾分类的目的、意义，认识生活垃圾分类工作紧迫性、重要性，明确垃圾分类的方法渠道。</w:t>
      </w:r>
    </w:p>
    <w:p w:rsidR="00C26459" w:rsidRPr="00F46E84" w:rsidRDefault="00C26459">
      <w:pPr>
        <w:pStyle w:val="NormalWeb"/>
        <w:widowControl/>
        <w:wordWrap w:val="0"/>
        <w:ind w:firstLineChars="200" w:firstLine="643"/>
        <w:jc w:val="both"/>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（三）建立工作台账和信息报送制度。</w:t>
      </w:r>
      <w:r>
        <w:rPr>
          <w:rFonts w:ascii="仿宋_GB2312" w:eastAsia="仿宋_GB2312" w:hAnsi="仿宋_GB2312" w:cs="仿宋_GB2312" w:hint="eastAsia"/>
          <w:color w:val="000000"/>
          <w:sz w:val="32"/>
          <w:szCs w:val="32"/>
          <w:shd w:val="clear" w:color="auto" w:fill="FFFFFF"/>
        </w:rPr>
        <w:t>各企业要建立生活垃圾分类工作台账，记录工作开展情况</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建立信息报送制度，</w:t>
      </w:r>
      <w:r w:rsidRPr="00F46E84">
        <w:rPr>
          <w:rFonts w:ascii="仿宋_GB2312" w:eastAsia="仿宋_GB2312" w:hAnsi="仿宋_GB2312" w:cs="仿宋_GB2312" w:hint="eastAsia"/>
          <w:color w:val="000000"/>
          <w:sz w:val="32"/>
          <w:szCs w:val="32"/>
          <w:shd w:val="clear" w:color="auto" w:fill="FFFFFF"/>
        </w:rPr>
        <w:t>每季度向市国资委垃圾分类领导小组办公室报送本企业上季度工作台账、工作推进情况及垃圾分类工作信息。</w:t>
      </w:r>
    </w:p>
    <w:p w:rsidR="00C26459" w:rsidRPr="00F46E84" w:rsidRDefault="00C26459">
      <w:pPr>
        <w:rPr>
          <w:rFonts w:ascii="仿宋_GB2312" w:eastAsia="仿宋_GB2312" w:hAnsi="仿宋_GB2312" w:cs="仿宋_GB2312"/>
          <w:color w:val="000000"/>
          <w:sz w:val="32"/>
          <w:szCs w:val="32"/>
          <w:shd w:val="clear" w:color="auto" w:fill="FFFFFF"/>
        </w:rPr>
      </w:pPr>
    </w:p>
    <w:p w:rsidR="00C26459" w:rsidRDefault="00C26459">
      <w:pPr>
        <w:ind w:firstLineChars="200" w:firstLine="640"/>
        <w:rPr>
          <w:rFonts w:ascii="仿宋_GB2312" w:eastAsia="仿宋_GB2312" w:hAnsi="仿宋_GB2312" w:cs="仿宋_GB2312"/>
          <w:color w:val="000000"/>
          <w:sz w:val="32"/>
          <w:szCs w:val="32"/>
          <w:shd w:val="clear" w:color="auto" w:fill="FFFFFF"/>
        </w:rPr>
      </w:pPr>
    </w:p>
    <w:p w:rsidR="00C26459" w:rsidRDefault="00C26459">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附：泰安市国资系统生活垃圾分类工作领导小组</w:t>
      </w:r>
      <w:r>
        <w:rPr>
          <w:rFonts w:ascii="仿宋_GB2312" w:eastAsia="仿宋_GB2312" w:hAnsi="仿宋_GB2312" w:cs="仿宋_GB2312"/>
          <w:color w:val="000000"/>
          <w:sz w:val="32"/>
          <w:szCs w:val="32"/>
          <w:shd w:val="clear" w:color="auto" w:fill="FFFFFF"/>
        </w:rPr>
        <w:tab/>
      </w: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ind w:firstLineChars="262" w:firstLine="838"/>
        <w:rPr>
          <w:rFonts w:ascii="仿宋_GB2312" w:eastAsia="仿宋_GB2312" w:hAnsi="仿宋_GB2312" w:cs="仿宋_GB2312"/>
          <w:color w:val="000000"/>
          <w:sz w:val="32"/>
          <w:szCs w:val="32"/>
          <w:shd w:val="clear" w:color="auto" w:fill="FFFFFF"/>
        </w:rPr>
      </w:pPr>
    </w:p>
    <w:p w:rsidR="00C26459" w:rsidRDefault="00C26459">
      <w:pPr>
        <w:jc w:val="center"/>
        <w:rPr>
          <w:rFonts w:ascii="仿宋_GB2312" w:eastAsia="仿宋_GB2312" w:hAnsi="仿宋_GB2312" w:cs="仿宋_GB2312"/>
          <w:b/>
          <w:bCs/>
          <w:color w:val="000000"/>
          <w:sz w:val="44"/>
          <w:szCs w:val="44"/>
          <w:shd w:val="clear" w:color="auto" w:fill="FFFFFF"/>
        </w:rPr>
      </w:pPr>
      <w:r>
        <w:rPr>
          <w:rFonts w:ascii="仿宋_GB2312" w:eastAsia="仿宋_GB2312" w:hAnsi="仿宋_GB2312" w:cs="仿宋_GB2312" w:hint="eastAsia"/>
          <w:b/>
          <w:bCs/>
          <w:color w:val="000000"/>
          <w:sz w:val="44"/>
          <w:szCs w:val="44"/>
          <w:shd w:val="clear" w:color="auto" w:fill="FFFFFF"/>
        </w:rPr>
        <w:t>泰安市国资系统</w:t>
      </w:r>
    </w:p>
    <w:p w:rsidR="00C26459" w:rsidRDefault="00C26459">
      <w:pPr>
        <w:jc w:val="center"/>
        <w:rPr>
          <w:rFonts w:ascii="仿宋_GB2312" w:eastAsia="仿宋_GB2312" w:hAnsi="仿宋_GB2312" w:cs="仿宋_GB2312"/>
          <w:b/>
          <w:bCs/>
          <w:color w:val="000000"/>
          <w:sz w:val="44"/>
          <w:szCs w:val="44"/>
          <w:shd w:val="clear" w:color="auto" w:fill="FFFFFF"/>
        </w:rPr>
      </w:pPr>
      <w:r>
        <w:rPr>
          <w:rFonts w:ascii="仿宋_GB2312" w:eastAsia="仿宋_GB2312" w:hAnsi="仿宋_GB2312" w:cs="仿宋_GB2312" w:hint="eastAsia"/>
          <w:b/>
          <w:bCs/>
          <w:color w:val="000000"/>
          <w:sz w:val="44"/>
          <w:szCs w:val="44"/>
          <w:shd w:val="clear" w:color="auto" w:fill="FFFFFF"/>
        </w:rPr>
        <w:t>生活垃圾分类工作领导小组</w:t>
      </w:r>
    </w:p>
    <w:p w:rsidR="00C26459" w:rsidRDefault="00C26459">
      <w:pPr>
        <w:rPr>
          <w:rFonts w:ascii="仿宋_GB2312" w:eastAsia="仿宋_GB2312" w:hAnsi="仿宋_GB2312" w:cs="仿宋_GB2312"/>
          <w:color w:val="000000"/>
          <w:sz w:val="32"/>
          <w:szCs w:val="32"/>
          <w:shd w:val="clear" w:color="auto" w:fill="FFFFFF"/>
        </w:rPr>
      </w:pPr>
    </w:p>
    <w:p w:rsidR="00C26459" w:rsidRDefault="00C26459">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组</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长：蔡丽霞</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市国资党委书记、主任</w:t>
      </w:r>
    </w:p>
    <w:p w:rsidR="00C26459" w:rsidRDefault="00C26459">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副组长：唐衍刚</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二级调研员</w:t>
      </w:r>
    </w:p>
    <w:p w:rsidR="00C26459" w:rsidRDefault="00C26459">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成</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员：于守海</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市国资委党委委员、国资中心党委</w:t>
      </w:r>
    </w:p>
    <w:p w:rsidR="00C26459" w:rsidRDefault="00C26459">
      <w:pPr>
        <w:ind w:firstLineChars="1000" w:firstLine="320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书记、主任</w:t>
      </w:r>
    </w:p>
    <w:p w:rsidR="00C26459" w:rsidRDefault="00C26459">
      <w:pPr>
        <w:ind w:firstLineChars="262" w:firstLine="838"/>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车传祥</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泰山玉中心党委书记、主任</w:t>
      </w:r>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王鲁生</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金控集团董事长</w:t>
      </w:r>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韩</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峰</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国泰民安集团董事长</w:t>
      </w:r>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张</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剑</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旅游集团董事长</w:t>
      </w:r>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何</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峰</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国信科技集团董事长</w:t>
      </w:r>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王成华</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粮食集团董事长</w:t>
      </w:r>
      <w:bookmarkStart w:id="0" w:name="_GoBack"/>
      <w:bookmarkEnd w:id="0"/>
    </w:p>
    <w:p w:rsidR="00C26459" w:rsidRDefault="00C26459">
      <w:pPr>
        <w:ind w:firstLineChars="600" w:firstLine="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时</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鹰</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绿色发展集团董事长</w:t>
      </w:r>
    </w:p>
    <w:p w:rsidR="00C26459" w:rsidRDefault="00C26459">
      <w:pPr>
        <w:ind w:firstLineChars="262" w:firstLine="838"/>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领导小组办公室设在委办公室，唐衍刚同志兼任办公室主任。</w:t>
      </w:r>
    </w:p>
    <w:p w:rsidR="00C26459" w:rsidRDefault="00C26459">
      <w:pPr>
        <w:ind w:firstLineChars="262" w:firstLine="838"/>
        <w:rPr>
          <w:rFonts w:ascii="仿宋_GB2312" w:eastAsia="仿宋_GB2312" w:hAnsi="仿宋_GB2312" w:cs="仿宋_GB2312"/>
          <w:color w:val="000000"/>
          <w:sz w:val="32"/>
          <w:szCs w:val="32"/>
          <w:shd w:val="clear" w:color="auto" w:fill="FFFFFF"/>
        </w:rPr>
      </w:pPr>
    </w:p>
    <w:sectPr w:rsidR="00C264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459" w:rsidRDefault="00C26459" w:rsidP="00045D61">
      <w:r>
        <w:separator/>
      </w:r>
    </w:p>
  </w:endnote>
  <w:endnote w:type="continuationSeparator" w:id="0">
    <w:p w:rsidR="00C26459" w:rsidRDefault="00C26459" w:rsidP="0004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59" w:rsidRDefault="00C26459">
    <w:pPr>
      <w:pStyle w:val="Footer"/>
    </w:pPr>
  </w:p>
  <w:p w:rsidR="00C26459" w:rsidRDefault="00C2645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C26459" w:rsidRDefault="00C26459">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459" w:rsidRDefault="00C26459" w:rsidP="00045D61">
      <w:r>
        <w:separator/>
      </w:r>
    </w:p>
  </w:footnote>
  <w:footnote w:type="continuationSeparator" w:id="0">
    <w:p w:rsidR="00C26459" w:rsidRDefault="00C26459" w:rsidP="0004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E0B1"/>
    <w:multiLevelType w:val="singleLevel"/>
    <w:tmpl w:val="1DD2E0B1"/>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5D61"/>
    <w:rsid w:val="000641DE"/>
    <w:rsid w:val="000F5610"/>
    <w:rsid w:val="00172A27"/>
    <w:rsid w:val="00371C57"/>
    <w:rsid w:val="00400F05"/>
    <w:rsid w:val="00592548"/>
    <w:rsid w:val="006325D3"/>
    <w:rsid w:val="00667933"/>
    <w:rsid w:val="00727E6E"/>
    <w:rsid w:val="00755CEC"/>
    <w:rsid w:val="008C18BE"/>
    <w:rsid w:val="008D2464"/>
    <w:rsid w:val="00A74436"/>
    <w:rsid w:val="00C26459"/>
    <w:rsid w:val="00C50B32"/>
    <w:rsid w:val="00DB601F"/>
    <w:rsid w:val="00F46E84"/>
    <w:rsid w:val="00FC5FAE"/>
    <w:rsid w:val="06AE0D7C"/>
    <w:rsid w:val="1F322D7B"/>
    <w:rsid w:val="23707019"/>
    <w:rsid w:val="31CF769B"/>
    <w:rsid w:val="36E935BD"/>
    <w:rsid w:val="396F0FA8"/>
    <w:rsid w:val="40881B79"/>
    <w:rsid w:val="43336D88"/>
    <w:rsid w:val="48881E4D"/>
    <w:rsid w:val="66810054"/>
    <w:rsid w:val="66A53D31"/>
    <w:rsid w:val="68391BFA"/>
    <w:rsid w:val="6B4A5E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6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5D6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C5FAE"/>
    <w:rPr>
      <w:rFonts w:ascii="Calibri" w:hAnsi="Calibri" w:cs="Times New Roman"/>
      <w:sz w:val="18"/>
      <w:szCs w:val="18"/>
    </w:rPr>
  </w:style>
  <w:style w:type="paragraph" w:styleId="Header">
    <w:name w:val="header"/>
    <w:basedOn w:val="Normal"/>
    <w:link w:val="HeaderChar"/>
    <w:uiPriority w:val="99"/>
    <w:rsid w:val="00045D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C5FAE"/>
    <w:rPr>
      <w:rFonts w:ascii="Calibri" w:hAnsi="Calibri" w:cs="Times New Roman"/>
      <w:sz w:val="18"/>
      <w:szCs w:val="18"/>
    </w:rPr>
  </w:style>
  <w:style w:type="paragraph" w:styleId="NormalWeb">
    <w:name w:val="Normal (Web)"/>
    <w:basedOn w:val="Normal"/>
    <w:uiPriority w:val="99"/>
    <w:rsid w:val="00045D61"/>
    <w:pPr>
      <w:jc w:val="left"/>
    </w:pPr>
    <w:rPr>
      <w:kern w:val="0"/>
      <w:sz w:val="24"/>
    </w:rPr>
  </w:style>
  <w:style w:type="paragraph" w:customStyle="1" w:styleId="4">
    <w:name w:val="样式4"/>
    <w:basedOn w:val="Normal"/>
    <w:uiPriority w:val="99"/>
    <w:rsid w:val="00045D61"/>
    <w:rPr>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7</Pages>
  <Words>384</Words>
  <Characters>2192</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zhaoxinlei</dc:creator>
  <cp:keywords/>
  <dc:description/>
  <cp:lastModifiedBy>Microsoft</cp:lastModifiedBy>
  <cp:revision>6</cp:revision>
  <cp:lastPrinted>2020-11-18T01:35:00Z</cp:lastPrinted>
  <dcterms:created xsi:type="dcterms:W3CDTF">2014-10-29T12:08:00Z</dcterms:created>
  <dcterms:modified xsi:type="dcterms:W3CDTF">2021-01-18T08:00:00Z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